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6E4" w:rsidRPr="003B42B2" w:rsidRDefault="00FD0D18" w:rsidP="00FD0D18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3B42B2">
        <w:rPr>
          <w:rFonts w:asciiTheme="minorHAnsi" w:hAnsiTheme="minorHAnsi" w:cstheme="minorHAnsi"/>
          <w:b/>
          <w:bCs/>
          <w:sz w:val="28"/>
          <w:szCs w:val="28"/>
        </w:rPr>
        <w:t>Intangible Assets</w:t>
      </w:r>
      <w:r w:rsidR="003D16E4">
        <w:rPr>
          <w:rFonts w:asciiTheme="minorHAnsi" w:hAnsiTheme="minorHAnsi" w:cstheme="minorHAnsi"/>
          <w:b/>
          <w:bCs/>
          <w:sz w:val="28"/>
          <w:szCs w:val="28"/>
        </w:rPr>
        <w:t xml:space="preserve"> Procedures Manual</w:t>
      </w:r>
    </w:p>
    <w:p w:rsidR="00A417D6" w:rsidRPr="003B42B2" w:rsidRDefault="00A417D6" w:rsidP="00FD0D1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192E2B" w:rsidRDefault="00192E2B" w:rsidP="002E765B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Governmental Accounting Standards Board (GASB) has issued Statement No. 51, </w:t>
      </w:r>
      <w:r w:rsidRPr="00D84245">
        <w:rPr>
          <w:rFonts w:asciiTheme="minorHAnsi" w:hAnsiTheme="minorHAnsi" w:cstheme="minorHAnsi"/>
          <w:i/>
          <w:sz w:val="22"/>
          <w:szCs w:val="22"/>
        </w:rPr>
        <w:t>Accounting and Reporting for Intangible Assets</w:t>
      </w:r>
      <w:r w:rsidRPr="003B42B2">
        <w:rPr>
          <w:rFonts w:asciiTheme="minorHAnsi" w:hAnsiTheme="minorHAnsi" w:cstheme="minorHAnsi"/>
          <w:sz w:val="22"/>
          <w:szCs w:val="22"/>
        </w:rPr>
        <w:t xml:space="preserve">. </w:t>
      </w:r>
      <w:r w:rsidRPr="00650AAE">
        <w:rPr>
          <w:rFonts w:asciiTheme="minorHAnsi" w:hAnsiTheme="minorHAnsi" w:cstheme="minorHAnsi"/>
          <w:sz w:val="22"/>
          <w:szCs w:val="22"/>
        </w:rPr>
        <w:t xml:space="preserve">The University must implement the requirements of the Statement beginning </w:t>
      </w:r>
      <w:r>
        <w:rPr>
          <w:rFonts w:asciiTheme="minorHAnsi" w:hAnsiTheme="minorHAnsi" w:cstheme="minorHAnsi"/>
          <w:sz w:val="22"/>
          <w:szCs w:val="22"/>
        </w:rPr>
        <w:t>July 1, 2009</w:t>
      </w:r>
      <w:r w:rsidRPr="00650AAE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192E2B" w:rsidRDefault="00192E2B" w:rsidP="002E765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E765B" w:rsidRPr="003B42B2" w:rsidRDefault="002E765B" w:rsidP="002E765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B42B2">
        <w:rPr>
          <w:rFonts w:asciiTheme="minorHAnsi" w:hAnsiTheme="minorHAnsi" w:cstheme="minorHAnsi"/>
          <w:sz w:val="22"/>
          <w:szCs w:val="22"/>
        </w:rPr>
        <w:t xml:space="preserve">Intangible assets of the University should be capitalized </w:t>
      </w:r>
      <w:r w:rsidR="00331D61">
        <w:rPr>
          <w:rFonts w:asciiTheme="minorHAnsi" w:hAnsiTheme="minorHAnsi" w:cstheme="minorHAnsi"/>
          <w:sz w:val="22"/>
          <w:szCs w:val="22"/>
        </w:rPr>
        <w:t xml:space="preserve">over their useful life </w:t>
      </w:r>
      <w:r w:rsidRPr="003B42B2">
        <w:rPr>
          <w:rFonts w:asciiTheme="minorHAnsi" w:hAnsiTheme="minorHAnsi" w:cstheme="minorHAnsi"/>
          <w:sz w:val="22"/>
          <w:szCs w:val="22"/>
        </w:rPr>
        <w:t>accordin</w:t>
      </w:r>
      <w:r w:rsidR="00CB1A68" w:rsidRPr="003B42B2">
        <w:rPr>
          <w:rFonts w:asciiTheme="minorHAnsi" w:hAnsiTheme="minorHAnsi" w:cstheme="minorHAnsi"/>
          <w:sz w:val="22"/>
          <w:szCs w:val="22"/>
        </w:rPr>
        <w:t xml:space="preserve">g to the </w:t>
      </w:r>
      <w:r w:rsidR="008857C5">
        <w:rPr>
          <w:rFonts w:asciiTheme="minorHAnsi" w:hAnsiTheme="minorHAnsi" w:cstheme="minorHAnsi"/>
          <w:sz w:val="22"/>
          <w:szCs w:val="22"/>
        </w:rPr>
        <w:t xml:space="preserve">thresholds listed in the table below. </w:t>
      </w:r>
      <w:r w:rsidR="00CB1A68" w:rsidRPr="003B42B2">
        <w:rPr>
          <w:rFonts w:asciiTheme="minorHAnsi" w:hAnsiTheme="minorHAnsi" w:cstheme="minorHAnsi"/>
          <w:sz w:val="22"/>
          <w:szCs w:val="22"/>
        </w:rPr>
        <w:t xml:space="preserve"> </w:t>
      </w:r>
      <w:r w:rsidR="008857C5" w:rsidRPr="003B42B2">
        <w:rPr>
          <w:rFonts w:asciiTheme="minorHAnsi" w:hAnsiTheme="minorHAnsi" w:cstheme="minorHAnsi"/>
          <w:sz w:val="22"/>
          <w:szCs w:val="22"/>
        </w:rPr>
        <w:t>Assets costing below the thresholds s</w:t>
      </w:r>
      <w:r w:rsidR="008857C5">
        <w:rPr>
          <w:rFonts w:asciiTheme="minorHAnsi" w:hAnsiTheme="minorHAnsi" w:cstheme="minorHAnsi"/>
          <w:sz w:val="22"/>
          <w:szCs w:val="22"/>
        </w:rPr>
        <w:t xml:space="preserve">hould be expensed as incurred. </w:t>
      </w:r>
    </w:p>
    <w:p w:rsidR="00CB1A68" w:rsidRPr="000B5043" w:rsidRDefault="00CB1A68" w:rsidP="002E765B">
      <w:pPr>
        <w:pStyle w:val="Default"/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4888" w:type="pct"/>
        <w:tblInd w:w="108" w:type="dxa"/>
        <w:tblLook w:val="04A0" w:firstRow="1" w:lastRow="0" w:firstColumn="1" w:lastColumn="0" w:noHBand="0" w:noVBand="1"/>
      </w:tblPr>
      <w:tblGrid>
        <w:gridCol w:w="3331"/>
        <w:gridCol w:w="3151"/>
        <w:gridCol w:w="2879"/>
      </w:tblGrid>
      <w:tr w:rsidR="00331D61" w:rsidRPr="00331D61" w:rsidTr="008857C5">
        <w:tc>
          <w:tcPr>
            <w:tcW w:w="1779" w:type="pct"/>
            <w:shd w:val="clear" w:color="auto" w:fill="A6A6A6" w:themeFill="background1" w:themeFillShade="A6"/>
          </w:tcPr>
          <w:p w:rsidR="00331D61" w:rsidRPr="00331D61" w:rsidRDefault="00331D61" w:rsidP="00CB1A6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Asset Class</w:t>
            </w:r>
          </w:p>
        </w:tc>
        <w:tc>
          <w:tcPr>
            <w:tcW w:w="1683" w:type="pct"/>
            <w:shd w:val="clear" w:color="auto" w:fill="A6A6A6" w:themeFill="background1" w:themeFillShade="A6"/>
          </w:tcPr>
          <w:p w:rsidR="00331D61" w:rsidRPr="00331D61" w:rsidRDefault="00331D61" w:rsidP="00CB1A6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Capitalization Threshold</w:t>
            </w:r>
          </w:p>
        </w:tc>
        <w:tc>
          <w:tcPr>
            <w:tcW w:w="1539" w:type="pct"/>
            <w:shd w:val="clear" w:color="auto" w:fill="A6A6A6" w:themeFill="background1" w:themeFillShade="A6"/>
          </w:tcPr>
          <w:p w:rsidR="00331D61" w:rsidRPr="00331D61" w:rsidRDefault="00331D61" w:rsidP="00CB1A6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Useful Life</w:t>
            </w:r>
          </w:p>
        </w:tc>
      </w:tr>
      <w:tr w:rsidR="00331D61" w:rsidTr="008857C5">
        <w:tc>
          <w:tcPr>
            <w:tcW w:w="1779" w:type="pct"/>
          </w:tcPr>
          <w:p w:rsidR="00331D61" w:rsidRPr="00331D61" w:rsidRDefault="00331D61" w:rsidP="00CB1A6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Software – </w:t>
            </w:r>
            <w:r w:rsidR="009C32B6">
              <w:rPr>
                <w:rFonts w:asciiTheme="minorHAnsi" w:hAnsiTheme="minorHAnsi" w:cstheme="minorHAnsi"/>
                <w:b/>
                <w:sz w:val="22"/>
                <w:szCs w:val="22"/>
              </w:rPr>
              <w:t>Internally-Generated</w:t>
            </w:r>
          </w:p>
        </w:tc>
        <w:tc>
          <w:tcPr>
            <w:tcW w:w="1683" w:type="pct"/>
          </w:tcPr>
          <w:p w:rsidR="00331D61" w:rsidRDefault="00650AAE" w:rsidP="00CB1A6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$1,000,000</w:t>
            </w:r>
          </w:p>
        </w:tc>
        <w:tc>
          <w:tcPr>
            <w:tcW w:w="1539" w:type="pct"/>
          </w:tcPr>
          <w:p w:rsidR="00331D61" w:rsidRDefault="00650AAE" w:rsidP="00CB1A6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 years</w:t>
            </w:r>
          </w:p>
        </w:tc>
      </w:tr>
      <w:tr w:rsidR="00331D61" w:rsidTr="008857C5">
        <w:tc>
          <w:tcPr>
            <w:tcW w:w="1779" w:type="pct"/>
          </w:tcPr>
          <w:p w:rsidR="00331D61" w:rsidRPr="00331D61" w:rsidRDefault="00650AAE" w:rsidP="008857C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Software – Purchased </w:t>
            </w:r>
            <w:r w:rsidR="008857C5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Licensed</w:t>
            </w:r>
          </w:p>
        </w:tc>
        <w:tc>
          <w:tcPr>
            <w:tcW w:w="1683" w:type="pct"/>
          </w:tcPr>
          <w:p w:rsidR="00331D61" w:rsidRDefault="00650AAE" w:rsidP="00CB1A6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$100,000</w:t>
            </w:r>
          </w:p>
        </w:tc>
        <w:tc>
          <w:tcPr>
            <w:tcW w:w="1539" w:type="pct"/>
          </w:tcPr>
          <w:p w:rsidR="00331D61" w:rsidRDefault="00650AAE" w:rsidP="00CB1A6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 years</w:t>
            </w:r>
          </w:p>
        </w:tc>
      </w:tr>
      <w:tr w:rsidR="00331D61" w:rsidTr="008857C5">
        <w:tc>
          <w:tcPr>
            <w:tcW w:w="1779" w:type="pct"/>
          </w:tcPr>
          <w:p w:rsidR="00331D61" w:rsidRPr="00331D61" w:rsidRDefault="00650AAE" w:rsidP="00CB1A6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Easements</w:t>
            </w:r>
          </w:p>
        </w:tc>
        <w:tc>
          <w:tcPr>
            <w:tcW w:w="1683" w:type="pct"/>
          </w:tcPr>
          <w:p w:rsidR="00331D61" w:rsidRDefault="00650AAE" w:rsidP="00CB1A6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$100,000</w:t>
            </w:r>
          </w:p>
        </w:tc>
        <w:tc>
          <w:tcPr>
            <w:tcW w:w="1539" w:type="pct"/>
          </w:tcPr>
          <w:p w:rsidR="00331D61" w:rsidRDefault="00650AAE" w:rsidP="00CB1A6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 years</w:t>
            </w:r>
          </w:p>
        </w:tc>
      </w:tr>
      <w:tr w:rsidR="00331D61" w:rsidTr="008857C5">
        <w:tc>
          <w:tcPr>
            <w:tcW w:w="1779" w:type="pct"/>
          </w:tcPr>
          <w:p w:rsidR="00331D61" w:rsidRPr="00331D61" w:rsidRDefault="00650AAE" w:rsidP="00CB1A6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Land Use Rights</w:t>
            </w:r>
          </w:p>
        </w:tc>
        <w:tc>
          <w:tcPr>
            <w:tcW w:w="1683" w:type="pct"/>
          </w:tcPr>
          <w:p w:rsidR="00331D61" w:rsidRDefault="00650AAE" w:rsidP="00CB1A6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$100,000</w:t>
            </w:r>
          </w:p>
        </w:tc>
        <w:tc>
          <w:tcPr>
            <w:tcW w:w="1539" w:type="pct"/>
          </w:tcPr>
          <w:p w:rsidR="00331D61" w:rsidRDefault="00650AAE" w:rsidP="00CB1A6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 years</w:t>
            </w:r>
          </w:p>
        </w:tc>
      </w:tr>
      <w:tr w:rsidR="00331D61" w:rsidTr="008857C5">
        <w:tc>
          <w:tcPr>
            <w:tcW w:w="1779" w:type="pct"/>
          </w:tcPr>
          <w:p w:rsidR="00331D61" w:rsidRPr="00331D61" w:rsidRDefault="00650AAE" w:rsidP="00CB1A6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Trademarks and Copyrights</w:t>
            </w:r>
          </w:p>
        </w:tc>
        <w:tc>
          <w:tcPr>
            <w:tcW w:w="1683" w:type="pct"/>
          </w:tcPr>
          <w:p w:rsidR="00331D61" w:rsidRDefault="00650AAE" w:rsidP="00CB1A6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$100,000</w:t>
            </w:r>
          </w:p>
        </w:tc>
        <w:tc>
          <w:tcPr>
            <w:tcW w:w="1539" w:type="pct"/>
          </w:tcPr>
          <w:p w:rsidR="00331D61" w:rsidRDefault="00650AAE" w:rsidP="00CB1A6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 years</w:t>
            </w:r>
          </w:p>
        </w:tc>
      </w:tr>
      <w:tr w:rsidR="00331D61" w:rsidTr="008857C5">
        <w:tc>
          <w:tcPr>
            <w:tcW w:w="1779" w:type="pct"/>
          </w:tcPr>
          <w:p w:rsidR="00331D61" w:rsidRPr="00331D61" w:rsidRDefault="00650AAE" w:rsidP="00CB1A6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Patents</w:t>
            </w:r>
          </w:p>
        </w:tc>
        <w:tc>
          <w:tcPr>
            <w:tcW w:w="1683" w:type="pct"/>
          </w:tcPr>
          <w:p w:rsidR="00331D61" w:rsidRDefault="00650AAE" w:rsidP="00CB1A6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$100,000</w:t>
            </w:r>
          </w:p>
        </w:tc>
        <w:tc>
          <w:tcPr>
            <w:tcW w:w="1539" w:type="pct"/>
          </w:tcPr>
          <w:p w:rsidR="00331D61" w:rsidRDefault="00650AAE" w:rsidP="00CB1A6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 years</w:t>
            </w:r>
          </w:p>
        </w:tc>
      </w:tr>
      <w:tr w:rsidR="00331D61" w:rsidTr="008857C5">
        <w:tc>
          <w:tcPr>
            <w:tcW w:w="1779" w:type="pct"/>
          </w:tcPr>
          <w:p w:rsidR="00331D61" w:rsidRPr="00331D61" w:rsidRDefault="00650AAE" w:rsidP="00CB1A6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Other Intangible Assets</w:t>
            </w:r>
          </w:p>
        </w:tc>
        <w:tc>
          <w:tcPr>
            <w:tcW w:w="1683" w:type="pct"/>
          </w:tcPr>
          <w:p w:rsidR="00331D61" w:rsidRDefault="00650AAE" w:rsidP="00CB1A6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$100,000</w:t>
            </w:r>
          </w:p>
        </w:tc>
        <w:tc>
          <w:tcPr>
            <w:tcW w:w="1539" w:type="pct"/>
          </w:tcPr>
          <w:p w:rsidR="00331D61" w:rsidRDefault="00650AAE" w:rsidP="00650A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*See note below</w:t>
            </w:r>
          </w:p>
        </w:tc>
      </w:tr>
    </w:tbl>
    <w:p w:rsidR="00CB1A68" w:rsidRPr="000B5043" w:rsidRDefault="00CB1A68" w:rsidP="00CB1A68">
      <w:pPr>
        <w:pStyle w:val="Default"/>
        <w:ind w:left="720"/>
        <w:rPr>
          <w:rFonts w:asciiTheme="minorHAnsi" w:hAnsiTheme="minorHAnsi" w:cstheme="minorHAnsi"/>
          <w:sz w:val="10"/>
          <w:szCs w:val="10"/>
        </w:rPr>
      </w:pPr>
    </w:p>
    <w:p w:rsidR="00ED50C1" w:rsidRDefault="00650AAE" w:rsidP="00650AAE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 w:rsidRPr="00650AA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The shorter of the legal or the estimated useful life is to be used. If the life is indefinite or unlimited – as may be the case with licenses or permits – then do </w:t>
      </w:r>
      <w:r w:rsidRPr="00CD3412">
        <w:rPr>
          <w:rFonts w:asciiTheme="minorHAnsi" w:hAnsiTheme="minorHAnsi" w:cstheme="minorHAnsi"/>
          <w:b/>
          <w:sz w:val="22"/>
          <w:szCs w:val="22"/>
          <w:u w:val="single"/>
        </w:rPr>
        <w:t xml:space="preserve">not </w:t>
      </w:r>
      <w:r>
        <w:rPr>
          <w:rFonts w:asciiTheme="minorHAnsi" w:hAnsiTheme="minorHAnsi" w:cstheme="minorHAnsi"/>
          <w:sz w:val="22"/>
          <w:szCs w:val="22"/>
        </w:rPr>
        <w:t xml:space="preserve">amortize. </w:t>
      </w:r>
    </w:p>
    <w:p w:rsidR="002E765B" w:rsidRPr="003B42B2" w:rsidRDefault="002E765B" w:rsidP="00FC156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857C5" w:rsidRPr="008857C5" w:rsidRDefault="008857C5" w:rsidP="00FC156E">
      <w:pPr>
        <w:pStyle w:val="Default"/>
        <w:rPr>
          <w:rFonts w:asciiTheme="minorHAnsi" w:hAnsiTheme="minorHAnsi" w:cstheme="minorHAnsi"/>
          <w:b/>
        </w:rPr>
      </w:pPr>
      <w:r w:rsidRPr="008857C5">
        <w:rPr>
          <w:rFonts w:asciiTheme="minorHAnsi" w:hAnsiTheme="minorHAnsi" w:cstheme="minorHAnsi"/>
          <w:b/>
        </w:rPr>
        <w:t>Definitions and Examples</w:t>
      </w:r>
    </w:p>
    <w:p w:rsidR="008857C5" w:rsidRDefault="008857C5" w:rsidP="00FC156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C156E" w:rsidRDefault="00FC156E" w:rsidP="008857C5">
      <w:pPr>
        <w:pStyle w:val="Default"/>
        <w:numPr>
          <w:ilvl w:val="0"/>
          <w:numId w:val="20"/>
        </w:numPr>
        <w:ind w:left="360" w:hanging="360"/>
        <w:rPr>
          <w:rFonts w:asciiTheme="minorHAnsi" w:hAnsiTheme="minorHAnsi" w:cstheme="minorHAnsi"/>
          <w:sz w:val="22"/>
          <w:szCs w:val="22"/>
        </w:rPr>
      </w:pPr>
      <w:r w:rsidRPr="003B42B2">
        <w:rPr>
          <w:rFonts w:asciiTheme="minorHAnsi" w:hAnsiTheme="minorHAnsi" w:cstheme="minorHAnsi"/>
          <w:sz w:val="22"/>
          <w:szCs w:val="22"/>
        </w:rPr>
        <w:t>Intangible assets</w:t>
      </w:r>
      <w:r w:rsidR="00D87F9A" w:rsidRPr="003B42B2">
        <w:rPr>
          <w:rFonts w:asciiTheme="minorHAnsi" w:hAnsiTheme="minorHAnsi" w:cstheme="minorHAnsi"/>
          <w:sz w:val="22"/>
          <w:szCs w:val="22"/>
        </w:rPr>
        <w:t xml:space="preserve"> are defined as </w:t>
      </w:r>
      <w:r w:rsidR="002D14D6" w:rsidRPr="003B42B2">
        <w:rPr>
          <w:rFonts w:asciiTheme="minorHAnsi" w:hAnsiTheme="minorHAnsi" w:cstheme="minorHAnsi"/>
          <w:sz w:val="22"/>
          <w:szCs w:val="22"/>
        </w:rPr>
        <w:t xml:space="preserve">assets that possess </w:t>
      </w:r>
      <w:r w:rsidR="002D14D6" w:rsidRPr="00304160">
        <w:rPr>
          <w:rFonts w:asciiTheme="minorHAnsi" w:hAnsiTheme="minorHAnsi" w:cstheme="minorHAnsi"/>
          <w:b/>
          <w:sz w:val="22"/>
          <w:szCs w:val="22"/>
          <w:u w:val="single"/>
        </w:rPr>
        <w:t>all</w:t>
      </w:r>
      <w:r w:rsidR="002D14D6" w:rsidRPr="003B42B2">
        <w:rPr>
          <w:rFonts w:asciiTheme="minorHAnsi" w:hAnsiTheme="minorHAnsi" w:cstheme="minorHAnsi"/>
          <w:sz w:val="22"/>
          <w:szCs w:val="22"/>
        </w:rPr>
        <w:t xml:space="preserve"> of the following characteristics:</w:t>
      </w:r>
    </w:p>
    <w:p w:rsidR="00C435D8" w:rsidRPr="00C435D8" w:rsidRDefault="00C435D8" w:rsidP="00C435D8">
      <w:pPr>
        <w:pStyle w:val="Default"/>
        <w:ind w:left="360"/>
        <w:rPr>
          <w:rFonts w:asciiTheme="minorHAnsi" w:hAnsiTheme="minorHAnsi" w:cstheme="minorHAnsi"/>
          <w:sz w:val="10"/>
          <w:szCs w:val="10"/>
        </w:rPr>
      </w:pPr>
    </w:p>
    <w:p w:rsidR="00FC156E" w:rsidRPr="008857C5" w:rsidRDefault="00FC156E" w:rsidP="003F7A6B">
      <w:pPr>
        <w:pStyle w:val="Default"/>
        <w:numPr>
          <w:ilvl w:val="0"/>
          <w:numId w:val="3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8857C5">
        <w:rPr>
          <w:rFonts w:asciiTheme="minorHAnsi" w:hAnsiTheme="minorHAnsi" w:cstheme="minorHAnsi"/>
          <w:sz w:val="22"/>
          <w:szCs w:val="22"/>
        </w:rPr>
        <w:t>Lack of physical substance</w:t>
      </w:r>
    </w:p>
    <w:p w:rsidR="00FC156E" w:rsidRPr="008857C5" w:rsidRDefault="00FC156E" w:rsidP="003F7A6B">
      <w:pPr>
        <w:pStyle w:val="Default"/>
        <w:numPr>
          <w:ilvl w:val="0"/>
          <w:numId w:val="3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8857C5">
        <w:rPr>
          <w:rFonts w:asciiTheme="minorHAnsi" w:hAnsiTheme="minorHAnsi" w:cstheme="minorHAnsi"/>
          <w:sz w:val="22"/>
          <w:szCs w:val="22"/>
        </w:rPr>
        <w:t>Non</w:t>
      </w:r>
      <w:r w:rsidR="002D14D6" w:rsidRPr="008857C5">
        <w:rPr>
          <w:rFonts w:asciiTheme="minorHAnsi" w:hAnsiTheme="minorHAnsi" w:cstheme="minorHAnsi"/>
          <w:sz w:val="22"/>
          <w:szCs w:val="22"/>
        </w:rPr>
        <w:t>-</w:t>
      </w:r>
      <w:r w:rsidRPr="008857C5">
        <w:rPr>
          <w:rFonts w:asciiTheme="minorHAnsi" w:hAnsiTheme="minorHAnsi" w:cstheme="minorHAnsi"/>
          <w:sz w:val="22"/>
          <w:szCs w:val="22"/>
        </w:rPr>
        <w:t>financial nature</w:t>
      </w:r>
    </w:p>
    <w:p w:rsidR="00FC156E" w:rsidRPr="008857C5" w:rsidRDefault="00FC156E" w:rsidP="003F7A6B">
      <w:pPr>
        <w:pStyle w:val="Default"/>
        <w:numPr>
          <w:ilvl w:val="0"/>
          <w:numId w:val="3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8857C5">
        <w:rPr>
          <w:rFonts w:asciiTheme="minorHAnsi" w:hAnsiTheme="minorHAnsi" w:cstheme="minorHAnsi"/>
          <w:sz w:val="22"/>
          <w:szCs w:val="22"/>
        </w:rPr>
        <w:t xml:space="preserve">Initial useful life </w:t>
      </w:r>
      <w:r w:rsidR="008857C5" w:rsidRPr="008857C5">
        <w:rPr>
          <w:rFonts w:asciiTheme="minorHAnsi" w:hAnsiTheme="minorHAnsi" w:cstheme="minorHAnsi"/>
          <w:sz w:val="22"/>
          <w:szCs w:val="22"/>
        </w:rPr>
        <w:t>of more than one year</w:t>
      </w:r>
    </w:p>
    <w:p w:rsidR="00FC156E" w:rsidRPr="003B42B2" w:rsidRDefault="00FC156E" w:rsidP="00FD0D1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E765B" w:rsidRDefault="002E765B" w:rsidP="00FD0D18">
      <w:pPr>
        <w:pStyle w:val="Default"/>
        <w:numPr>
          <w:ilvl w:val="0"/>
          <w:numId w:val="20"/>
        </w:numPr>
        <w:ind w:left="360" w:hanging="360"/>
        <w:rPr>
          <w:rFonts w:asciiTheme="minorHAnsi" w:hAnsiTheme="minorHAnsi" w:cstheme="minorHAnsi"/>
          <w:sz w:val="22"/>
          <w:szCs w:val="22"/>
        </w:rPr>
      </w:pPr>
      <w:r w:rsidRPr="003B42B2">
        <w:rPr>
          <w:rFonts w:asciiTheme="minorHAnsi" w:hAnsiTheme="minorHAnsi" w:cstheme="minorHAnsi"/>
          <w:sz w:val="22"/>
          <w:szCs w:val="22"/>
        </w:rPr>
        <w:t xml:space="preserve">Examples of </w:t>
      </w:r>
      <w:r w:rsidR="00C82327" w:rsidRPr="003B42B2">
        <w:rPr>
          <w:rFonts w:asciiTheme="minorHAnsi" w:hAnsiTheme="minorHAnsi" w:cstheme="minorHAnsi"/>
          <w:sz w:val="22"/>
          <w:szCs w:val="22"/>
        </w:rPr>
        <w:t>i</w:t>
      </w:r>
      <w:r w:rsidRPr="003B42B2">
        <w:rPr>
          <w:rFonts w:asciiTheme="minorHAnsi" w:hAnsiTheme="minorHAnsi" w:cstheme="minorHAnsi"/>
          <w:sz w:val="22"/>
          <w:szCs w:val="22"/>
        </w:rPr>
        <w:t xml:space="preserve">ntangible </w:t>
      </w:r>
      <w:r w:rsidR="00C82327" w:rsidRPr="003B42B2">
        <w:rPr>
          <w:rFonts w:asciiTheme="minorHAnsi" w:hAnsiTheme="minorHAnsi" w:cstheme="minorHAnsi"/>
          <w:sz w:val="22"/>
          <w:szCs w:val="22"/>
        </w:rPr>
        <w:t>a</w:t>
      </w:r>
      <w:r w:rsidR="00C435D8">
        <w:rPr>
          <w:rFonts w:asciiTheme="minorHAnsi" w:hAnsiTheme="minorHAnsi" w:cstheme="minorHAnsi"/>
          <w:sz w:val="22"/>
          <w:szCs w:val="22"/>
        </w:rPr>
        <w:t>ssets include:</w:t>
      </w:r>
    </w:p>
    <w:p w:rsidR="00C435D8" w:rsidRPr="00C435D8" w:rsidRDefault="00C435D8" w:rsidP="00C435D8">
      <w:pPr>
        <w:pStyle w:val="Default"/>
        <w:ind w:left="360"/>
        <w:rPr>
          <w:rFonts w:asciiTheme="minorHAnsi" w:hAnsiTheme="minorHAnsi" w:cstheme="minorHAnsi"/>
          <w:sz w:val="10"/>
          <w:szCs w:val="10"/>
        </w:rPr>
      </w:pPr>
    </w:p>
    <w:p w:rsidR="002E765B" w:rsidRPr="003B42B2" w:rsidRDefault="002E765B" w:rsidP="003F7A6B">
      <w:pPr>
        <w:pStyle w:val="Default"/>
        <w:numPr>
          <w:ilvl w:val="0"/>
          <w:numId w:val="3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3B42B2">
        <w:rPr>
          <w:rFonts w:asciiTheme="minorHAnsi" w:hAnsiTheme="minorHAnsi" w:cstheme="minorHAnsi"/>
          <w:sz w:val="22"/>
          <w:szCs w:val="22"/>
        </w:rPr>
        <w:t>Computer software</w:t>
      </w:r>
    </w:p>
    <w:p w:rsidR="002E765B" w:rsidRPr="003B42B2" w:rsidRDefault="002E765B" w:rsidP="003F7A6B">
      <w:pPr>
        <w:pStyle w:val="Default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3B42B2">
        <w:rPr>
          <w:rFonts w:asciiTheme="minorHAnsi" w:hAnsiTheme="minorHAnsi" w:cstheme="minorHAnsi"/>
          <w:sz w:val="22"/>
          <w:szCs w:val="22"/>
        </w:rPr>
        <w:t>Purchased or licensed</w:t>
      </w:r>
    </w:p>
    <w:p w:rsidR="002E765B" w:rsidRPr="00120614" w:rsidRDefault="00120614" w:rsidP="00120614">
      <w:pPr>
        <w:pStyle w:val="Default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Internally-</w:t>
      </w:r>
      <w:r w:rsidR="002E765B" w:rsidRPr="00120614">
        <w:rPr>
          <w:rFonts w:asciiTheme="minorHAnsi" w:hAnsiTheme="minorHAnsi" w:cstheme="minorHAnsi"/>
          <w:sz w:val="22"/>
          <w:szCs w:val="22"/>
        </w:rPr>
        <w:t>generated</w:t>
      </w:r>
    </w:p>
    <w:p w:rsidR="002E765B" w:rsidRPr="003B42B2" w:rsidRDefault="002E765B" w:rsidP="003F7A6B">
      <w:pPr>
        <w:pStyle w:val="Default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3B42B2">
        <w:rPr>
          <w:rFonts w:asciiTheme="minorHAnsi" w:hAnsiTheme="minorHAnsi" w:cstheme="minorHAnsi"/>
          <w:sz w:val="22"/>
          <w:szCs w:val="22"/>
        </w:rPr>
        <w:t>Websites</w:t>
      </w:r>
    </w:p>
    <w:p w:rsidR="002E765B" w:rsidRPr="003B42B2" w:rsidRDefault="002E765B" w:rsidP="003F7A6B">
      <w:pPr>
        <w:pStyle w:val="Default"/>
        <w:numPr>
          <w:ilvl w:val="0"/>
          <w:numId w:val="3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3B42B2">
        <w:rPr>
          <w:rFonts w:asciiTheme="minorHAnsi" w:hAnsiTheme="minorHAnsi" w:cstheme="minorHAnsi"/>
          <w:sz w:val="22"/>
          <w:szCs w:val="22"/>
        </w:rPr>
        <w:t>Easements</w:t>
      </w:r>
      <w:r w:rsidR="003F7A6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E765B" w:rsidRPr="003B42B2" w:rsidRDefault="002E765B" w:rsidP="003F7A6B">
      <w:pPr>
        <w:pStyle w:val="Default"/>
        <w:numPr>
          <w:ilvl w:val="0"/>
          <w:numId w:val="3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3B42B2">
        <w:rPr>
          <w:rFonts w:asciiTheme="minorHAnsi" w:hAnsiTheme="minorHAnsi" w:cstheme="minorHAnsi"/>
          <w:sz w:val="22"/>
          <w:szCs w:val="22"/>
        </w:rPr>
        <w:t>Land use rights (e.g. – water, timber, and mineral rights)</w:t>
      </w:r>
    </w:p>
    <w:p w:rsidR="00C82327" w:rsidRPr="003F7A6B" w:rsidRDefault="00C82327" w:rsidP="003F7A6B">
      <w:pPr>
        <w:pStyle w:val="Default"/>
        <w:ind w:left="1440"/>
        <w:rPr>
          <w:rFonts w:asciiTheme="minorHAnsi" w:hAnsiTheme="minorHAnsi" w:cstheme="minorHAnsi"/>
          <w:i/>
          <w:sz w:val="22"/>
          <w:szCs w:val="22"/>
        </w:rPr>
      </w:pPr>
      <w:r w:rsidRPr="003F7A6B">
        <w:rPr>
          <w:rFonts w:asciiTheme="minorHAnsi" w:hAnsiTheme="minorHAnsi" w:cstheme="minorHAnsi"/>
          <w:i/>
          <w:sz w:val="22"/>
          <w:szCs w:val="22"/>
        </w:rPr>
        <w:t xml:space="preserve">Note: Land use rights associated with property already owned by the University should </w:t>
      </w:r>
      <w:r w:rsidRPr="00CD3412">
        <w:rPr>
          <w:rFonts w:asciiTheme="minorHAnsi" w:hAnsiTheme="minorHAnsi" w:cstheme="minorHAnsi"/>
          <w:b/>
          <w:i/>
          <w:sz w:val="22"/>
          <w:szCs w:val="22"/>
          <w:u w:val="single"/>
        </w:rPr>
        <w:t>not</w:t>
      </w:r>
      <w:r w:rsidRPr="003F7A6B">
        <w:rPr>
          <w:rFonts w:asciiTheme="minorHAnsi" w:hAnsiTheme="minorHAnsi" w:cstheme="minorHAnsi"/>
          <w:i/>
          <w:sz w:val="22"/>
          <w:szCs w:val="22"/>
        </w:rPr>
        <w:t xml:space="preserve"> be reported as intangible assets separate from the property.</w:t>
      </w:r>
    </w:p>
    <w:p w:rsidR="002E765B" w:rsidRPr="003B42B2" w:rsidRDefault="00772E56" w:rsidP="003F7A6B">
      <w:pPr>
        <w:pStyle w:val="Default"/>
        <w:numPr>
          <w:ilvl w:val="0"/>
          <w:numId w:val="3"/>
        </w:num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Trademarks, copyrights, and p</w:t>
      </w:r>
      <w:r w:rsidR="002E765B" w:rsidRPr="003B42B2">
        <w:rPr>
          <w:rFonts w:asciiTheme="minorHAnsi" w:hAnsiTheme="minorHAnsi" w:cstheme="minorHAnsi"/>
          <w:sz w:val="22"/>
          <w:szCs w:val="22"/>
        </w:rPr>
        <w:t>atents</w:t>
      </w:r>
    </w:p>
    <w:p w:rsidR="00C82327" w:rsidRPr="003B42B2" w:rsidRDefault="00C82327" w:rsidP="00C8232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82327" w:rsidRDefault="00C82327" w:rsidP="00C82327">
      <w:pPr>
        <w:pStyle w:val="Default"/>
        <w:numPr>
          <w:ilvl w:val="0"/>
          <w:numId w:val="20"/>
        </w:numPr>
        <w:ind w:left="360" w:hanging="360"/>
        <w:rPr>
          <w:rFonts w:asciiTheme="minorHAnsi" w:hAnsiTheme="minorHAnsi" w:cstheme="minorHAnsi"/>
          <w:sz w:val="22"/>
          <w:szCs w:val="22"/>
        </w:rPr>
      </w:pPr>
      <w:r w:rsidRPr="003B42B2">
        <w:rPr>
          <w:rFonts w:asciiTheme="minorHAnsi" w:hAnsiTheme="minorHAnsi" w:cstheme="minorHAnsi"/>
          <w:sz w:val="22"/>
          <w:szCs w:val="22"/>
        </w:rPr>
        <w:t>The following intangible assets are excluded from the provision of GASB Statement No. 51</w:t>
      </w:r>
      <w:r w:rsidR="000B5043">
        <w:rPr>
          <w:rFonts w:asciiTheme="minorHAnsi" w:hAnsiTheme="minorHAnsi" w:cstheme="minorHAnsi"/>
          <w:sz w:val="22"/>
          <w:szCs w:val="22"/>
        </w:rPr>
        <w:t xml:space="preserve"> and should </w:t>
      </w:r>
      <w:r w:rsidR="000B5043" w:rsidRPr="00304160">
        <w:rPr>
          <w:rFonts w:asciiTheme="minorHAnsi" w:hAnsiTheme="minorHAnsi" w:cstheme="minorHAnsi"/>
          <w:b/>
          <w:sz w:val="22"/>
          <w:szCs w:val="22"/>
          <w:u w:val="single"/>
        </w:rPr>
        <w:t>not</w:t>
      </w:r>
      <w:r w:rsidR="000B5043">
        <w:rPr>
          <w:rFonts w:asciiTheme="minorHAnsi" w:hAnsiTheme="minorHAnsi" w:cstheme="minorHAnsi"/>
          <w:sz w:val="22"/>
          <w:szCs w:val="22"/>
        </w:rPr>
        <w:t xml:space="preserve"> be capitalized</w:t>
      </w:r>
      <w:r w:rsidRPr="003B42B2">
        <w:rPr>
          <w:rFonts w:asciiTheme="minorHAnsi" w:hAnsiTheme="minorHAnsi" w:cstheme="minorHAnsi"/>
          <w:sz w:val="22"/>
          <w:szCs w:val="22"/>
        </w:rPr>
        <w:t>:</w:t>
      </w:r>
    </w:p>
    <w:p w:rsidR="00E87A2B" w:rsidRPr="00E87A2B" w:rsidRDefault="00E87A2B" w:rsidP="00E87A2B">
      <w:pPr>
        <w:pStyle w:val="Default"/>
        <w:ind w:left="360"/>
        <w:rPr>
          <w:rFonts w:asciiTheme="minorHAnsi" w:hAnsiTheme="minorHAnsi" w:cstheme="minorHAnsi"/>
          <w:sz w:val="10"/>
          <w:szCs w:val="10"/>
        </w:rPr>
      </w:pPr>
    </w:p>
    <w:p w:rsidR="003F7A6B" w:rsidRDefault="004C5ED0" w:rsidP="003F7A6B">
      <w:pPr>
        <w:pStyle w:val="Default"/>
        <w:numPr>
          <w:ilvl w:val="0"/>
          <w:numId w:val="5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3B42B2">
        <w:rPr>
          <w:rFonts w:asciiTheme="minorHAnsi" w:hAnsiTheme="minorHAnsi" w:cstheme="minorHAnsi"/>
          <w:sz w:val="22"/>
          <w:szCs w:val="22"/>
        </w:rPr>
        <w:t>Assets that</w:t>
      </w:r>
      <w:r w:rsidR="00C82327" w:rsidRPr="003B42B2">
        <w:rPr>
          <w:rFonts w:asciiTheme="minorHAnsi" w:hAnsiTheme="minorHAnsi" w:cstheme="minorHAnsi"/>
          <w:sz w:val="22"/>
          <w:szCs w:val="22"/>
        </w:rPr>
        <w:t xml:space="preserve"> are acquired or created primarily for the purpose of directly obtaining income or profit</w:t>
      </w:r>
      <w:r w:rsidRPr="003B42B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82327" w:rsidRPr="003B42B2" w:rsidRDefault="003F7A6B" w:rsidP="003F7A6B">
      <w:pPr>
        <w:pStyle w:val="Default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Example – </w:t>
      </w:r>
      <w:r w:rsidR="004C5ED0" w:rsidRPr="003B42B2">
        <w:rPr>
          <w:rFonts w:asciiTheme="minorHAnsi" w:hAnsiTheme="minorHAnsi" w:cstheme="minorHAnsi"/>
          <w:sz w:val="22"/>
          <w:szCs w:val="22"/>
        </w:rPr>
        <w:t>a copyright used prima</w:t>
      </w:r>
      <w:r>
        <w:rPr>
          <w:rFonts w:asciiTheme="minorHAnsi" w:hAnsiTheme="minorHAnsi" w:cstheme="minorHAnsi"/>
          <w:sz w:val="22"/>
          <w:szCs w:val="22"/>
        </w:rPr>
        <w:t>rily to generate royalty income</w:t>
      </w:r>
      <w:r w:rsidR="004C5ED0" w:rsidRPr="003B42B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B42B2" w:rsidRDefault="00C82327" w:rsidP="003F7A6B">
      <w:pPr>
        <w:pStyle w:val="Default"/>
        <w:numPr>
          <w:ilvl w:val="0"/>
          <w:numId w:val="5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3B42B2">
        <w:rPr>
          <w:rFonts w:asciiTheme="minorHAnsi" w:hAnsiTheme="minorHAnsi" w:cstheme="minorHAnsi"/>
          <w:sz w:val="22"/>
          <w:szCs w:val="22"/>
        </w:rPr>
        <w:t>Assets resulting from capital lease transactions reported by lessees</w:t>
      </w:r>
    </w:p>
    <w:p w:rsidR="00966231" w:rsidRPr="003B42B2" w:rsidRDefault="00966231" w:rsidP="003F7A6B">
      <w:pPr>
        <w:pStyle w:val="Default"/>
        <w:numPr>
          <w:ilvl w:val="0"/>
          <w:numId w:val="5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3B42B2">
        <w:rPr>
          <w:rFonts w:asciiTheme="minorHAnsi" w:hAnsiTheme="minorHAnsi" w:cstheme="minorHAnsi"/>
          <w:sz w:val="22"/>
          <w:szCs w:val="22"/>
        </w:rPr>
        <w:t>Goodwill created through the combination of the University and another entity</w:t>
      </w:r>
    </w:p>
    <w:p w:rsidR="000209FC" w:rsidRPr="00E14428" w:rsidRDefault="000209FC" w:rsidP="003B42B2">
      <w:pPr>
        <w:pStyle w:val="Default"/>
        <w:rPr>
          <w:rFonts w:asciiTheme="minorHAnsi" w:hAnsiTheme="minorHAnsi" w:cstheme="minorHAnsi"/>
          <w:b/>
          <w:i/>
          <w:sz w:val="22"/>
          <w:szCs w:val="22"/>
        </w:rPr>
      </w:pPr>
      <w:r w:rsidRPr="00E14428">
        <w:rPr>
          <w:rFonts w:asciiTheme="minorHAnsi" w:hAnsiTheme="minorHAnsi" w:cstheme="minorHAnsi"/>
          <w:b/>
          <w:i/>
          <w:sz w:val="22"/>
          <w:szCs w:val="22"/>
        </w:rPr>
        <w:lastRenderedPageBreak/>
        <w:t>Inventory</w:t>
      </w:r>
    </w:p>
    <w:p w:rsidR="000209FC" w:rsidRPr="00E14428" w:rsidRDefault="000209FC" w:rsidP="003B42B2">
      <w:pPr>
        <w:pStyle w:val="Default"/>
        <w:rPr>
          <w:rFonts w:asciiTheme="minorHAnsi" w:hAnsiTheme="minorHAnsi" w:cstheme="minorHAnsi"/>
          <w:b/>
          <w:i/>
          <w:sz w:val="10"/>
          <w:szCs w:val="10"/>
        </w:rPr>
      </w:pPr>
    </w:p>
    <w:p w:rsidR="000209FC" w:rsidRPr="00E14428" w:rsidRDefault="000209FC" w:rsidP="003B42B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14428">
        <w:rPr>
          <w:rFonts w:asciiTheme="minorHAnsi" w:hAnsiTheme="minorHAnsi" w:cstheme="minorHAnsi"/>
          <w:sz w:val="22"/>
          <w:szCs w:val="22"/>
        </w:rPr>
        <w:t xml:space="preserve">Financial Services is required to </w:t>
      </w:r>
      <w:r w:rsidR="00DB0D1E" w:rsidRPr="00E14428">
        <w:rPr>
          <w:rFonts w:asciiTheme="minorHAnsi" w:hAnsiTheme="minorHAnsi" w:cstheme="minorHAnsi"/>
          <w:sz w:val="22"/>
          <w:szCs w:val="22"/>
        </w:rPr>
        <w:t xml:space="preserve">identify, assign an inventory control number, and </w:t>
      </w:r>
      <w:r w:rsidRPr="00E14428">
        <w:rPr>
          <w:rFonts w:asciiTheme="minorHAnsi" w:hAnsiTheme="minorHAnsi" w:cstheme="minorHAnsi"/>
          <w:sz w:val="22"/>
          <w:szCs w:val="22"/>
        </w:rPr>
        <w:t xml:space="preserve">maintain inventory records on all intangible assets covered by the </w:t>
      </w:r>
      <w:hyperlink r:id="rId7" w:history="1">
        <w:r w:rsidRPr="00E14428">
          <w:rPr>
            <w:rStyle w:val="Hyperlink"/>
            <w:rFonts w:asciiTheme="minorHAnsi" w:hAnsiTheme="minorHAnsi" w:cstheme="minorHAnsi"/>
            <w:color w:val="C00000"/>
            <w:sz w:val="22"/>
            <w:szCs w:val="22"/>
          </w:rPr>
          <w:t>Intangible Assets Policy</w:t>
        </w:r>
      </w:hyperlink>
      <w:r w:rsidRPr="00E14428">
        <w:rPr>
          <w:rFonts w:asciiTheme="minorHAnsi" w:hAnsiTheme="minorHAnsi" w:cstheme="minorHAnsi"/>
          <w:sz w:val="22"/>
          <w:szCs w:val="22"/>
        </w:rPr>
        <w:t>. A physical inventory of intangible assets is not required; however, departments must notify Financial Services upon the receipt, disposition, or obsolescence of any intangible asset.</w:t>
      </w:r>
      <w:r w:rsidR="00224488" w:rsidRPr="00E14428">
        <w:rPr>
          <w:rFonts w:asciiTheme="minorHAnsi" w:hAnsiTheme="minorHAnsi" w:cstheme="minorHAnsi"/>
          <w:sz w:val="22"/>
          <w:szCs w:val="22"/>
        </w:rPr>
        <w:t xml:space="preserve"> All intangible assets will be reviewed annually by a designated accountant in Financial Services to verify existence and test for impairment. </w:t>
      </w:r>
    </w:p>
    <w:p w:rsidR="004B4DCD" w:rsidRPr="00E14428" w:rsidRDefault="004B4DCD" w:rsidP="003B42B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B4DCD" w:rsidRPr="00E14428" w:rsidRDefault="004B4DCD" w:rsidP="003B42B2">
      <w:pPr>
        <w:pStyle w:val="Default"/>
        <w:rPr>
          <w:rFonts w:asciiTheme="minorHAnsi" w:hAnsiTheme="minorHAnsi" w:cstheme="minorHAnsi"/>
          <w:b/>
          <w:i/>
          <w:sz w:val="22"/>
          <w:szCs w:val="22"/>
        </w:rPr>
      </w:pPr>
      <w:r w:rsidRPr="00E14428">
        <w:rPr>
          <w:rFonts w:asciiTheme="minorHAnsi" w:hAnsiTheme="minorHAnsi" w:cstheme="minorHAnsi"/>
          <w:b/>
          <w:i/>
          <w:sz w:val="22"/>
          <w:szCs w:val="22"/>
        </w:rPr>
        <w:t>Disposal of Intangible Assets</w:t>
      </w:r>
    </w:p>
    <w:p w:rsidR="004B4DCD" w:rsidRPr="00E14428" w:rsidRDefault="004B4DCD" w:rsidP="003B42B2">
      <w:pPr>
        <w:pStyle w:val="Default"/>
        <w:rPr>
          <w:rFonts w:asciiTheme="minorHAnsi" w:hAnsiTheme="minorHAnsi" w:cstheme="minorHAnsi"/>
          <w:b/>
          <w:i/>
          <w:sz w:val="10"/>
          <w:szCs w:val="10"/>
        </w:rPr>
      </w:pPr>
    </w:p>
    <w:p w:rsidR="004B4DCD" w:rsidRPr="00E14428" w:rsidRDefault="004B4DCD" w:rsidP="003B42B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14428">
        <w:rPr>
          <w:rFonts w:asciiTheme="minorHAnsi" w:hAnsiTheme="minorHAnsi" w:cstheme="minorHAnsi"/>
          <w:sz w:val="22"/>
          <w:szCs w:val="22"/>
        </w:rPr>
        <w:t>All University Intangible Assets</w:t>
      </w:r>
      <w:r w:rsidR="009F7820" w:rsidRPr="00E14428">
        <w:rPr>
          <w:rFonts w:asciiTheme="minorHAnsi" w:hAnsiTheme="minorHAnsi" w:cstheme="minorHAnsi"/>
          <w:sz w:val="22"/>
          <w:szCs w:val="22"/>
        </w:rPr>
        <w:t xml:space="preserve"> </w:t>
      </w:r>
      <w:r w:rsidR="00DB0D1E" w:rsidRPr="00E14428">
        <w:rPr>
          <w:rFonts w:asciiTheme="minorHAnsi" w:hAnsiTheme="minorHAnsi" w:cstheme="minorHAnsi"/>
          <w:sz w:val="22"/>
          <w:szCs w:val="22"/>
        </w:rPr>
        <w:t xml:space="preserve">are to be disposed of through the Financial Services office. </w:t>
      </w:r>
    </w:p>
    <w:p w:rsidR="00DB0D1E" w:rsidRPr="00E14428" w:rsidRDefault="00DB0D1E" w:rsidP="003B42B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B0D1E" w:rsidRPr="00E14428" w:rsidRDefault="00DB0D1E" w:rsidP="003B42B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14428">
        <w:rPr>
          <w:rFonts w:asciiTheme="minorHAnsi" w:hAnsiTheme="minorHAnsi" w:cstheme="minorHAnsi"/>
          <w:sz w:val="22"/>
          <w:szCs w:val="22"/>
        </w:rPr>
        <w:t xml:space="preserve">To dispose of unwanted or impaired intangible assets, a </w:t>
      </w:r>
      <w:r w:rsidRPr="00E14428">
        <w:rPr>
          <w:rFonts w:asciiTheme="minorHAnsi" w:hAnsiTheme="minorHAnsi" w:cstheme="minorHAnsi"/>
          <w:color w:val="C00000"/>
          <w:sz w:val="22"/>
          <w:szCs w:val="22"/>
          <w:u w:val="single"/>
        </w:rPr>
        <w:t>Declaration of Surplus Property Form</w:t>
      </w:r>
      <w:r w:rsidRPr="00E14428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Pr="00E14428">
        <w:rPr>
          <w:rFonts w:asciiTheme="minorHAnsi" w:hAnsiTheme="minorHAnsi" w:cstheme="minorHAnsi"/>
          <w:sz w:val="22"/>
          <w:szCs w:val="22"/>
        </w:rPr>
        <w:t>must be filled out and submitted to Financial Services. The inventory number must be listed on the form.</w:t>
      </w:r>
    </w:p>
    <w:p w:rsidR="000209FC" w:rsidRPr="00E14428" w:rsidRDefault="000209FC" w:rsidP="003B42B2">
      <w:pPr>
        <w:pStyle w:val="Default"/>
        <w:rPr>
          <w:rFonts w:asciiTheme="minorHAnsi" w:hAnsiTheme="minorHAnsi" w:cstheme="minorHAnsi"/>
          <w:b/>
          <w:i/>
          <w:sz w:val="22"/>
          <w:szCs w:val="22"/>
        </w:rPr>
      </w:pPr>
    </w:p>
    <w:p w:rsidR="003B42B2" w:rsidRPr="00C435D8" w:rsidRDefault="00120614" w:rsidP="003B42B2">
      <w:pPr>
        <w:pStyle w:val="Default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Internally-</w:t>
      </w:r>
      <w:r w:rsidR="003B42B2" w:rsidRPr="00C435D8">
        <w:rPr>
          <w:rFonts w:asciiTheme="minorHAnsi" w:hAnsiTheme="minorHAnsi" w:cstheme="minorHAnsi"/>
          <w:b/>
          <w:i/>
          <w:sz w:val="22"/>
          <w:szCs w:val="22"/>
        </w:rPr>
        <w:t xml:space="preserve">Generated Intangible Assets </w:t>
      </w:r>
    </w:p>
    <w:p w:rsidR="003B42B2" w:rsidRPr="00C435D8" w:rsidRDefault="003B42B2" w:rsidP="003B42B2">
      <w:pPr>
        <w:pStyle w:val="Default"/>
        <w:rPr>
          <w:rFonts w:asciiTheme="minorHAnsi" w:hAnsiTheme="minorHAnsi" w:cstheme="minorHAnsi"/>
          <w:b/>
          <w:sz w:val="10"/>
          <w:szCs w:val="10"/>
        </w:rPr>
      </w:pPr>
    </w:p>
    <w:p w:rsidR="00911828" w:rsidRDefault="00911828" w:rsidP="003B42B2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Intangible assets are considered internally-generated if they are created or produced by the University, or if they are acquired form a third party but require more than minimal incremental effort on the part of the University to begin to achieve their expected level of service capacity. Examples of internally-generated intangible assets include patents, trademarks, and computer software. </w:t>
      </w:r>
    </w:p>
    <w:p w:rsidR="00911828" w:rsidRDefault="00911828" w:rsidP="003B42B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B42B2" w:rsidRPr="00C435D8" w:rsidRDefault="00120614" w:rsidP="003B42B2">
      <w:pPr>
        <w:pStyle w:val="Default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Internally-</w:t>
      </w:r>
      <w:r w:rsidR="001E6C72" w:rsidRPr="00C435D8">
        <w:rPr>
          <w:rFonts w:asciiTheme="minorHAnsi" w:hAnsiTheme="minorHAnsi" w:cstheme="minorHAnsi"/>
          <w:b/>
          <w:i/>
          <w:sz w:val="22"/>
          <w:szCs w:val="22"/>
        </w:rPr>
        <w:t>Generated</w:t>
      </w:r>
      <w:r w:rsidR="003B42B2" w:rsidRPr="00C435D8">
        <w:rPr>
          <w:rFonts w:asciiTheme="minorHAnsi" w:hAnsiTheme="minorHAnsi" w:cstheme="minorHAnsi"/>
          <w:b/>
          <w:i/>
          <w:sz w:val="22"/>
          <w:szCs w:val="22"/>
        </w:rPr>
        <w:t xml:space="preserve"> Computer Software </w:t>
      </w:r>
    </w:p>
    <w:p w:rsidR="003B42B2" w:rsidRPr="00756517" w:rsidRDefault="003B42B2" w:rsidP="003B42B2">
      <w:pPr>
        <w:pStyle w:val="Default"/>
        <w:rPr>
          <w:rFonts w:asciiTheme="minorHAnsi" w:hAnsiTheme="minorHAnsi" w:cstheme="minorHAnsi"/>
          <w:sz w:val="10"/>
          <w:szCs w:val="10"/>
        </w:rPr>
      </w:pPr>
    </w:p>
    <w:p w:rsidR="000A606E" w:rsidRDefault="000A606E" w:rsidP="003B42B2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Computer so</w:t>
      </w:r>
      <w:r w:rsidR="00120614">
        <w:rPr>
          <w:rFonts w:asciiTheme="minorHAnsi" w:hAnsiTheme="minorHAnsi" w:cstheme="minorHAnsi"/>
          <w:sz w:val="22"/>
          <w:szCs w:val="22"/>
        </w:rPr>
        <w:t>ftware is considered internally-</w:t>
      </w:r>
      <w:r>
        <w:rPr>
          <w:rFonts w:asciiTheme="minorHAnsi" w:hAnsiTheme="minorHAnsi" w:cstheme="minorHAnsi"/>
          <w:sz w:val="22"/>
          <w:szCs w:val="22"/>
        </w:rPr>
        <w:t>generated if it is developed in-house by University employees or by a third-party contractor on behalf of the University. Commercially available software purchased or licensed by the University and modified using more than minimal incremental effort before bein</w:t>
      </w:r>
      <w:r w:rsidR="00756517">
        <w:rPr>
          <w:rFonts w:asciiTheme="minorHAnsi" w:hAnsiTheme="minorHAnsi" w:cstheme="minorHAnsi"/>
          <w:sz w:val="22"/>
          <w:szCs w:val="22"/>
        </w:rPr>
        <w:t>g put into operation should also</w:t>
      </w:r>
      <w:r w:rsidR="00120614">
        <w:rPr>
          <w:rFonts w:asciiTheme="minorHAnsi" w:hAnsiTheme="minorHAnsi" w:cstheme="minorHAnsi"/>
          <w:sz w:val="22"/>
          <w:szCs w:val="22"/>
        </w:rPr>
        <w:t xml:space="preserve"> be considered internally-</w:t>
      </w:r>
      <w:r>
        <w:rPr>
          <w:rFonts w:asciiTheme="minorHAnsi" w:hAnsiTheme="minorHAnsi" w:cstheme="minorHAnsi"/>
          <w:sz w:val="22"/>
          <w:szCs w:val="22"/>
        </w:rPr>
        <w:t>generated for the purposes of GASB Statement No. 51. For example, licensed financial accounting software that the University modifies to add special reporting capabilities would be considered internally</w:t>
      </w:r>
      <w:r w:rsidR="00120614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generated. </w:t>
      </w:r>
    </w:p>
    <w:p w:rsidR="00AC3B96" w:rsidRDefault="00AC3B96" w:rsidP="003B42B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B42B2" w:rsidRPr="00860DFD" w:rsidRDefault="003B42B2" w:rsidP="00823207">
      <w:pPr>
        <w:pStyle w:val="Default"/>
        <w:ind w:left="45"/>
        <w:rPr>
          <w:rFonts w:asciiTheme="minorHAnsi" w:hAnsiTheme="minorHAnsi" w:cstheme="minorHAnsi"/>
          <w:sz w:val="22"/>
          <w:szCs w:val="22"/>
        </w:rPr>
      </w:pPr>
      <w:r w:rsidRPr="00860DFD">
        <w:rPr>
          <w:rFonts w:asciiTheme="minorHAnsi" w:hAnsiTheme="minorHAnsi" w:cstheme="minorHAnsi"/>
          <w:sz w:val="22"/>
          <w:szCs w:val="22"/>
        </w:rPr>
        <w:t>For commercially available software that will be modified to the point that it is consid</w:t>
      </w:r>
      <w:r w:rsidR="00120614">
        <w:rPr>
          <w:rFonts w:asciiTheme="minorHAnsi" w:hAnsiTheme="minorHAnsi" w:cstheme="minorHAnsi"/>
          <w:sz w:val="22"/>
          <w:szCs w:val="22"/>
        </w:rPr>
        <w:t>ered internally-</w:t>
      </w:r>
      <w:r w:rsidR="007B4920">
        <w:rPr>
          <w:rFonts w:asciiTheme="minorHAnsi" w:hAnsiTheme="minorHAnsi" w:cstheme="minorHAnsi"/>
          <w:sz w:val="22"/>
          <w:szCs w:val="22"/>
        </w:rPr>
        <w:t>generated, the</w:t>
      </w:r>
      <w:r w:rsidRPr="00860DFD">
        <w:rPr>
          <w:rFonts w:asciiTheme="minorHAnsi" w:hAnsiTheme="minorHAnsi" w:cstheme="minorHAnsi"/>
          <w:sz w:val="22"/>
          <w:szCs w:val="22"/>
        </w:rPr>
        <w:t xml:space="preserve"> two conditions</w:t>
      </w:r>
      <w:r w:rsidR="007B4920">
        <w:rPr>
          <w:rFonts w:asciiTheme="minorHAnsi" w:hAnsiTheme="minorHAnsi" w:cstheme="minorHAnsi"/>
          <w:sz w:val="22"/>
          <w:szCs w:val="22"/>
        </w:rPr>
        <w:t xml:space="preserve"> above</w:t>
      </w:r>
      <w:r w:rsidRPr="00860DFD">
        <w:rPr>
          <w:rFonts w:asciiTheme="minorHAnsi" w:hAnsiTheme="minorHAnsi" w:cstheme="minorHAnsi"/>
          <w:sz w:val="22"/>
          <w:szCs w:val="22"/>
        </w:rPr>
        <w:t xml:space="preserve"> ge</w:t>
      </w:r>
      <w:r w:rsidR="007B4920">
        <w:rPr>
          <w:rFonts w:asciiTheme="minorHAnsi" w:hAnsiTheme="minorHAnsi" w:cstheme="minorHAnsi"/>
          <w:sz w:val="22"/>
          <w:szCs w:val="22"/>
        </w:rPr>
        <w:t>nerally could be considered to have occurred upon t</w:t>
      </w:r>
      <w:r w:rsidR="00823207">
        <w:rPr>
          <w:rFonts w:asciiTheme="minorHAnsi" w:hAnsiTheme="minorHAnsi" w:cstheme="minorHAnsi"/>
          <w:sz w:val="22"/>
          <w:szCs w:val="22"/>
        </w:rPr>
        <w:t>he University</w:t>
      </w:r>
      <w:r w:rsidR="007B4920">
        <w:rPr>
          <w:rFonts w:asciiTheme="minorHAnsi" w:hAnsiTheme="minorHAnsi" w:cstheme="minorHAnsi"/>
          <w:sz w:val="22"/>
          <w:szCs w:val="22"/>
        </w:rPr>
        <w:t>’s</w:t>
      </w:r>
      <w:r w:rsidRPr="00860DFD">
        <w:rPr>
          <w:rFonts w:asciiTheme="minorHAnsi" w:hAnsiTheme="minorHAnsi" w:cstheme="minorHAnsi"/>
          <w:sz w:val="22"/>
          <w:szCs w:val="22"/>
        </w:rPr>
        <w:t xml:space="preserve"> commitment to purchase or license the computer software. Capitalization of such outlays should cease once the software is substantially complete and operational (i.e., ready for use). </w:t>
      </w:r>
    </w:p>
    <w:p w:rsidR="003B42B2" w:rsidRDefault="003B42B2" w:rsidP="00FD0D1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D0D18" w:rsidRPr="00860DFD" w:rsidRDefault="00120614" w:rsidP="00FD0D18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When an internally-</w:t>
      </w:r>
      <w:r w:rsidR="00FD0D18" w:rsidRPr="00860DFD">
        <w:rPr>
          <w:rFonts w:asciiTheme="minorHAnsi" w:hAnsiTheme="minorHAnsi" w:cstheme="minorHAnsi"/>
          <w:sz w:val="22"/>
          <w:szCs w:val="22"/>
        </w:rPr>
        <w:t xml:space="preserve">generated computer project spans more than one year, the total application development costs of the project should be considered when applying the capitalization threshold, </w:t>
      </w:r>
      <w:r w:rsidR="00FD0D18" w:rsidRPr="006B0FB4">
        <w:rPr>
          <w:rFonts w:asciiTheme="minorHAnsi" w:hAnsiTheme="minorHAnsi" w:cstheme="minorHAnsi"/>
          <w:sz w:val="22"/>
          <w:szCs w:val="22"/>
        </w:rPr>
        <w:t xml:space="preserve">not </w:t>
      </w:r>
      <w:r w:rsidR="00FD0D18" w:rsidRPr="00860DFD">
        <w:rPr>
          <w:rFonts w:asciiTheme="minorHAnsi" w:hAnsiTheme="minorHAnsi" w:cstheme="minorHAnsi"/>
          <w:sz w:val="22"/>
          <w:szCs w:val="22"/>
        </w:rPr>
        <w:t>the outlays incur</w:t>
      </w:r>
      <w:r w:rsidR="007249A8">
        <w:rPr>
          <w:rFonts w:asciiTheme="minorHAnsi" w:hAnsiTheme="minorHAnsi" w:cstheme="minorHAnsi"/>
          <w:sz w:val="22"/>
          <w:szCs w:val="22"/>
        </w:rPr>
        <w:t xml:space="preserve">red in individual years (Note: </w:t>
      </w:r>
      <w:r w:rsidR="007249A8">
        <w:rPr>
          <w:rFonts w:asciiTheme="minorHAnsi" w:hAnsiTheme="minorHAnsi" w:cstheme="minorHAnsi"/>
          <w:caps/>
          <w:sz w:val="22"/>
          <w:szCs w:val="22"/>
        </w:rPr>
        <w:t>A</w:t>
      </w:r>
      <w:r w:rsidR="00FD0D18" w:rsidRPr="00860DFD">
        <w:rPr>
          <w:rFonts w:asciiTheme="minorHAnsi" w:hAnsiTheme="minorHAnsi" w:cstheme="minorHAnsi"/>
          <w:sz w:val="22"/>
          <w:szCs w:val="22"/>
        </w:rPr>
        <w:t xml:space="preserve"> project would include a modification to existing software). </w:t>
      </w:r>
    </w:p>
    <w:p w:rsidR="00A417D6" w:rsidRDefault="00A417D6" w:rsidP="00FD0D1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249A8" w:rsidRDefault="007249A8" w:rsidP="00FD0D1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60DFD">
        <w:rPr>
          <w:rFonts w:asciiTheme="minorHAnsi" w:hAnsiTheme="minorHAnsi" w:cstheme="minorHAnsi"/>
          <w:sz w:val="22"/>
          <w:szCs w:val="22"/>
        </w:rPr>
        <w:t xml:space="preserve">If the University acquires a site license to install software on multiple computers </w:t>
      </w:r>
      <w:r w:rsidR="00C342FA">
        <w:rPr>
          <w:rFonts w:asciiTheme="minorHAnsi" w:hAnsiTheme="minorHAnsi" w:cstheme="minorHAnsi"/>
          <w:sz w:val="22"/>
          <w:szCs w:val="22"/>
        </w:rPr>
        <w:t xml:space="preserve">it </w:t>
      </w:r>
      <w:r w:rsidRPr="00860DFD">
        <w:rPr>
          <w:rFonts w:asciiTheme="minorHAnsi" w:hAnsiTheme="minorHAnsi" w:cstheme="minorHAnsi"/>
          <w:sz w:val="22"/>
          <w:szCs w:val="22"/>
        </w:rPr>
        <w:t>should apply the capitalization threshold on a per unit basis (i.e., cost of the site license divided by the number of authorized users).</w:t>
      </w:r>
    </w:p>
    <w:p w:rsidR="00FD0D18" w:rsidRPr="00860DFD" w:rsidRDefault="00FD0D18" w:rsidP="00FD0D1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60DFD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</w:p>
    <w:sectPr w:rsidR="00FD0D18" w:rsidRPr="00860DFD" w:rsidSect="00D620E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1A78"/>
    <w:multiLevelType w:val="hybridMultilevel"/>
    <w:tmpl w:val="B9FEDF86"/>
    <w:lvl w:ilvl="0" w:tplc="AED0E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E1F1E"/>
    <w:multiLevelType w:val="hybridMultilevel"/>
    <w:tmpl w:val="BB88DE88"/>
    <w:lvl w:ilvl="0" w:tplc="54F49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95A3B"/>
    <w:multiLevelType w:val="hybridMultilevel"/>
    <w:tmpl w:val="E23CA062"/>
    <w:lvl w:ilvl="0" w:tplc="4A4CD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5C4D1E"/>
    <w:multiLevelType w:val="hybridMultilevel"/>
    <w:tmpl w:val="6FB024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F532A"/>
    <w:multiLevelType w:val="hybridMultilevel"/>
    <w:tmpl w:val="98FA2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95794"/>
    <w:multiLevelType w:val="hybridMultilevel"/>
    <w:tmpl w:val="5E7AFDE8"/>
    <w:lvl w:ilvl="0" w:tplc="3536A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12E90"/>
    <w:multiLevelType w:val="hybridMultilevel"/>
    <w:tmpl w:val="CB82D986"/>
    <w:lvl w:ilvl="0" w:tplc="E5848B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6E3AE5"/>
    <w:multiLevelType w:val="hybridMultilevel"/>
    <w:tmpl w:val="6818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133AC"/>
    <w:multiLevelType w:val="hybridMultilevel"/>
    <w:tmpl w:val="BA6EA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8D0A23"/>
    <w:multiLevelType w:val="hybridMultilevel"/>
    <w:tmpl w:val="F82C6DC8"/>
    <w:lvl w:ilvl="0" w:tplc="0CBA7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410DF9"/>
    <w:multiLevelType w:val="hybridMultilevel"/>
    <w:tmpl w:val="E1228A62"/>
    <w:lvl w:ilvl="0" w:tplc="DFE0154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281937"/>
    <w:multiLevelType w:val="hybridMultilevel"/>
    <w:tmpl w:val="2F620B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8474F"/>
    <w:multiLevelType w:val="hybridMultilevel"/>
    <w:tmpl w:val="CA722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FF2956"/>
    <w:multiLevelType w:val="hybridMultilevel"/>
    <w:tmpl w:val="1048DF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0F9020F"/>
    <w:multiLevelType w:val="hybridMultilevel"/>
    <w:tmpl w:val="BBF4F5B8"/>
    <w:lvl w:ilvl="0" w:tplc="6F7C52B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3ACA2498"/>
    <w:multiLevelType w:val="hybridMultilevel"/>
    <w:tmpl w:val="69960732"/>
    <w:lvl w:ilvl="0" w:tplc="9B104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2781B"/>
    <w:multiLevelType w:val="hybridMultilevel"/>
    <w:tmpl w:val="779899D0"/>
    <w:lvl w:ilvl="0" w:tplc="B6C8BEF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44D4B"/>
    <w:multiLevelType w:val="hybridMultilevel"/>
    <w:tmpl w:val="1E3C3A66"/>
    <w:lvl w:ilvl="0" w:tplc="97922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176EF1"/>
    <w:multiLevelType w:val="hybridMultilevel"/>
    <w:tmpl w:val="86E21A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47B02"/>
    <w:multiLevelType w:val="hybridMultilevel"/>
    <w:tmpl w:val="9D6A5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5B0817"/>
    <w:multiLevelType w:val="hybridMultilevel"/>
    <w:tmpl w:val="770EAFC0"/>
    <w:lvl w:ilvl="0" w:tplc="AA12E0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5C04D2"/>
    <w:multiLevelType w:val="hybridMultilevel"/>
    <w:tmpl w:val="FF8410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9BA837A">
      <w:start w:val="1"/>
      <w:numFmt w:val="decimal"/>
      <w:lvlText w:val="%2)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AF53D5B"/>
    <w:multiLevelType w:val="hybridMultilevel"/>
    <w:tmpl w:val="02A83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417C44"/>
    <w:multiLevelType w:val="hybridMultilevel"/>
    <w:tmpl w:val="40289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3A748AE"/>
    <w:multiLevelType w:val="hybridMultilevel"/>
    <w:tmpl w:val="C504B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B159B5"/>
    <w:multiLevelType w:val="hybridMultilevel"/>
    <w:tmpl w:val="A022C8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C16F338">
      <w:start w:val="2"/>
      <w:numFmt w:val="bullet"/>
      <w:lvlText w:val="·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2B1D31"/>
    <w:multiLevelType w:val="hybridMultilevel"/>
    <w:tmpl w:val="208A95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021A25"/>
    <w:multiLevelType w:val="hybridMultilevel"/>
    <w:tmpl w:val="61EC0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520BD8"/>
    <w:multiLevelType w:val="hybridMultilevel"/>
    <w:tmpl w:val="2446E2E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B9BA837A">
      <w:start w:val="1"/>
      <w:numFmt w:val="decimal"/>
      <w:lvlText w:val="%2)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F6B326B"/>
    <w:multiLevelType w:val="hybridMultilevel"/>
    <w:tmpl w:val="F670F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734BB7"/>
    <w:multiLevelType w:val="hybridMultilevel"/>
    <w:tmpl w:val="0082C6C4"/>
    <w:lvl w:ilvl="0" w:tplc="E9F84D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1A718E"/>
    <w:multiLevelType w:val="hybridMultilevel"/>
    <w:tmpl w:val="B136F900"/>
    <w:lvl w:ilvl="0" w:tplc="39222728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0A4D13"/>
    <w:multiLevelType w:val="hybridMultilevel"/>
    <w:tmpl w:val="87E611A2"/>
    <w:lvl w:ilvl="0" w:tplc="BB426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CB2E7B"/>
    <w:multiLevelType w:val="hybridMultilevel"/>
    <w:tmpl w:val="210AF89A"/>
    <w:lvl w:ilvl="0" w:tplc="F4726C66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427435"/>
    <w:multiLevelType w:val="hybridMultilevel"/>
    <w:tmpl w:val="D20C9864"/>
    <w:lvl w:ilvl="0" w:tplc="04090019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1"/>
  </w:num>
  <w:num w:numId="2">
    <w:abstractNumId w:val="7"/>
  </w:num>
  <w:num w:numId="3">
    <w:abstractNumId w:val="21"/>
  </w:num>
  <w:num w:numId="4">
    <w:abstractNumId w:val="24"/>
  </w:num>
  <w:num w:numId="5">
    <w:abstractNumId w:val="8"/>
  </w:num>
  <w:num w:numId="6">
    <w:abstractNumId w:val="29"/>
  </w:num>
  <w:num w:numId="7">
    <w:abstractNumId w:val="12"/>
  </w:num>
  <w:num w:numId="8">
    <w:abstractNumId w:val="4"/>
  </w:num>
  <w:num w:numId="9">
    <w:abstractNumId w:val="26"/>
  </w:num>
  <w:num w:numId="10">
    <w:abstractNumId w:val="14"/>
  </w:num>
  <w:num w:numId="11">
    <w:abstractNumId w:val="34"/>
  </w:num>
  <w:num w:numId="12">
    <w:abstractNumId w:val="3"/>
  </w:num>
  <w:num w:numId="13">
    <w:abstractNumId w:val="22"/>
  </w:num>
  <w:num w:numId="14">
    <w:abstractNumId w:val="27"/>
  </w:num>
  <w:num w:numId="15">
    <w:abstractNumId w:val="19"/>
  </w:num>
  <w:num w:numId="16">
    <w:abstractNumId w:val="33"/>
  </w:num>
  <w:num w:numId="17">
    <w:abstractNumId w:val="31"/>
  </w:num>
  <w:num w:numId="18">
    <w:abstractNumId w:val="6"/>
  </w:num>
  <w:num w:numId="19">
    <w:abstractNumId w:val="10"/>
  </w:num>
  <w:num w:numId="20">
    <w:abstractNumId w:val="30"/>
  </w:num>
  <w:num w:numId="21">
    <w:abstractNumId w:val="28"/>
  </w:num>
  <w:num w:numId="22">
    <w:abstractNumId w:val="32"/>
  </w:num>
  <w:num w:numId="23">
    <w:abstractNumId w:val="16"/>
  </w:num>
  <w:num w:numId="24">
    <w:abstractNumId w:val="25"/>
  </w:num>
  <w:num w:numId="25">
    <w:abstractNumId w:val="20"/>
  </w:num>
  <w:num w:numId="26">
    <w:abstractNumId w:val="1"/>
  </w:num>
  <w:num w:numId="27">
    <w:abstractNumId w:val="18"/>
  </w:num>
  <w:num w:numId="28">
    <w:abstractNumId w:val="2"/>
  </w:num>
  <w:num w:numId="29">
    <w:abstractNumId w:val="5"/>
  </w:num>
  <w:num w:numId="30">
    <w:abstractNumId w:val="9"/>
  </w:num>
  <w:num w:numId="31">
    <w:abstractNumId w:val="15"/>
  </w:num>
  <w:num w:numId="32">
    <w:abstractNumId w:val="17"/>
  </w:num>
  <w:num w:numId="33">
    <w:abstractNumId w:val="0"/>
  </w:num>
  <w:num w:numId="34">
    <w:abstractNumId w:val="13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18"/>
    <w:rsid w:val="000209FC"/>
    <w:rsid w:val="00037C9D"/>
    <w:rsid w:val="000528FD"/>
    <w:rsid w:val="000562CD"/>
    <w:rsid w:val="000A606E"/>
    <w:rsid w:val="000B5043"/>
    <w:rsid w:val="00120614"/>
    <w:rsid w:val="00192E2B"/>
    <w:rsid w:val="001E6C72"/>
    <w:rsid w:val="00214430"/>
    <w:rsid w:val="00216B6B"/>
    <w:rsid w:val="00224488"/>
    <w:rsid w:val="002A2846"/>
    <w:rsid w:val="002D14D6"/>
    <w:rsid w:val="002E2F4D"/>
    <w:rsid w:val="002E765B"/>
    <w:rsid w:val="002F18A4"/>
    <w:rsid w:val="00304160"/>
    <w:rsid w:val="00321C02"/>
    <w:rsid w:val="00325091"/>
    <w:rsid w:val="00331D61"/>
    <w:rsid w:val="003827E4"/>
    <w:rsid w:val="003B42B2"/>
    <w:rsid w:val="003D16E4"/>
    <w:rsid w:val="003D6833"/>
    <w:rsid w:val="003F7A6B"/>
    <w:rsid w:val="004805E9"/>
    <w:rsid w:val="004B1085"/>
    <w:rsid w:val="004B416C"/>
    <w:rsid w:val="004B4DCD"/>
    <w:rsid w:val="004C5ED0"/>
    <w:rsid w:val="004D2529"/>
    <w:rsid w:val="004F5716"/>
    <w:rsid w:val="00580618"/>
    <w:rsid w:val="005D065C"/>
    <w:rsid w:val="005F6D0F"/>
    <w:rsid w:val="00616A4B"/>
    <w:rsid w:val="006327D9"/>
    <w:rsid w:val="006443BB"/>
    <w:rsid w:val="00650AAE"/>
    <w:rsid w:val="006613BD"/>
    <w:rsid w:val="00670B96"/>
    <w:rsid w:val="0067367D"/>
    <w:rsid w:val="006B0FB4"/>
    <w:rsid w:val="00716A28"/>
    <w:rsid w:val="007249A8"/>
    <w:rsid w:val="00737AD3"/>
    <w:rsid w:val="00756517"/>
    <w:rsid w:val="00760A7D"/>
    <w:rsid w:val="00772E56"/>
    <w:rsid w:val="00790D08"/>
    <w:rsid w:val="007A03C3"/>
    <w:rsid w:val="007B4920"/>
    <w:rsid w:val="007F7E63"/>
    <w:rsid w:val="00823207"/>
    <w:rsid w:val="00860DFD"/>
    <w:rsid w:val="0086628B"/>
    <w:rsid w:val="0087746A"/>
    <w:rsid w:val="008857C5"/>
    <w:rsid w:val="008D334A"/>
    <w:rsid w:val="0090238C"/>
    <w:rsid w:val="00911828"/>
    <w:rsid w:val="00911F51"/>
    <w:rsid w:val="009465FB"/>
    <w:rsid w:val="00966231"/>
    <w:rsid w:val="00981BBE"/>
    <w:rsid w:val="009C32B6"/>
    <w:rsid w:val="009C7271"/>
    <w:rsid w:val="009F7820"/>
    <w:rsid w:val="00A374FB"/>
    <w:rsid w:val="00A417D6"/>
    <w:rsid w:val="00A4286C"/>
    <w:rsid w:val="00A800C2"/>
    <w:rsid w:val="00A91ACB"/>
    <w:rsid w:val="00A97301"/>
    <w:rsid w:val="00AC3B96"/>
    <w:rsid w:val="00AD342F"/>
    <w:rsid w:val="00AD4308"/>
    <w:rsid w:val="00AF6C8D"/>
    <w:rsid w:val="00AF7D33"/>
    <w:rsid w:val="00B10BFB"/>
    <w:rsid w:val="00B774EB"/>
    <w:rsid w:val="00B80FE4"/>
    <w:rsid w:val="00C02561"/>
    <w:rsid w:val="00C342FA"/>
    <w:rsid w:val="00C435D8"/>
    <w:rsid w:val="00C630AC"/>
    <w:rsid w:val="00C7226D"/>
    <w:rsid w:val="00C82327"/>
    <w:rsid w:val="00CA4072"/>
    <w:rsid w:val="00CA6421"/>
    <w:rsid w:val="00CA7946"/>
    <w:rsid w:val="00CB1A68"/>
    <w:rsid w:val="00CD3412"/>
    <w:rsid w:val="00CD5234"/>
    <w:rsid w:val="00CD6B27"/>
    <w:rsid w:val="00CE5805"/>
    <w:rsid w:val="00D620E2"/>
    <w:rsid w:val="00D7797D"/>
    <w:rsid w:val="00D84245"/>
    <w:rsid w:val="00D87F9A"/>
    <w:rsid w:val="00D90E1B"/>
    <w:rsid w:val="00DB0D1E"/>
    <w:rsid w:val="00DC4A56"/>
    <w:rsid w:val="00DC5FF5"/>
    <w:rsid w:val="00DD3179"/>
    <w:rsid w:val="00DF4FCE"/>
    <w:rsid w:val="00E14428"/>
    <w:rsid w:val="00E428D6"/>
    <w:rsid w:val="00E621FA"/>
    <w:rsid w:val="00E8625E"/>
    <w:rsid w:val="00E87A2B"/>
    <w:rsid w:val="00ED50C1"/>
    <w:rsid w:val="00F020CF"/>
    <w:rsid w:val="00F437E0"/>
    <w:rsid w:val="00F45D0E"/>
    <w:rsid w:val="00FC0AB6"/>
    <w:rsid w:val="00FC156E"/>
    <w:rsid w:val="00FD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0D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60D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0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DF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80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D5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ED5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Grid3-Accent1">
    <w:name w:val="Medium Grid 3 Accent 1"/>
    <w:basedOn w:val="TableNormal"/>
    <w:uiPriority w:val="69"/>
    <w:rsid w:val="00ED5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5">
    <w:name w:val="Medium Grid 3 Accent 5"/>
    <w:basedOn w:val="TableNormal"/>
    <w:uiPriority w:val="69"/>
    <w:rsid w:val="00ED5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">
    <w:name w:val="Medium Grid 3 Accent 4"/>
    <w:basedOn w:val="TableNormal"/>
    <w:uiPriority w:val="69"/>
    <w:rsid w:val="00ED5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LightList">
    <w:name w:val="Light List"/>
    <w:basedOn w:val="TableNormal"/>
    <w:uiPriority w:val="61"/>
    <w:rsid w:val="00ED50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  <w:jc w:val="left"/>
      </w:pPr>
      <w:rPr>
        <w:b/>
        <w:bCs/>
        <w:color w:val="000000" w:themeColor="text1"/>
      </w:rPr>
      <w:tblPr/>
      <w:tcPr>
        <w:shd w:val="clear" w:color="auto" w:fill="A6A6A6" w:themeFill="background1" w:themeFillShade="A6"/>
        <w:vAlign w:val="center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Grid1-Accent1">
    <w:name w:val="Medium Grid 1 Accent 1"/>
    <w:basedOn w:val="TableNormal"/>
    <w:uiPriority w:val="67"/>
    <w:rsid w:val="00ED5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">
    <w:name w:val="Medium Grid 1"/>
    <w:basedOn w:val="TableNormal"/>
    <w:uiPriority w:val="67"/>
    <w:rsid w:val="00ED5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Grid">
    <w:name w:val="Light Grid"/>
    <w:basedOn w:val="TableNormal"/>
    <w:uiPriority w:val="62"/>
    <w:rsid w:val="00331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4D25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09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0D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60D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0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DF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80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D5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ED5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Grid3-Accent1">
    <w:name w:val="Medium Grid 3 Accent 1"/>
    <w:basedOn w:val="TableNormal"/>
    <w:uiPriority w:val="69"/>
    <w:rsid w:val="00ED5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5">
    <w:name w:val="Medium Grid 3 Accent 5"/>
    <w:basedOn w:val="TableNormal"/>
    <w:uiPriority w:val="69"/>
    <w:rsid w:val="00ED5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">
    <w:name w:val="Medium Grid 3 Accent 4"/>
    <w:basedOn w:val="TableNormal"/>
    <w:uiPriority w:val="69"/>
    <w:rsid w:val="00ED5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LightList">
    <w:name w:val="Light List"/>
    <w:basedOn w:val="TableNormal"/>
    <w:uiPriority w:val="61"/>
    <w:rsid w:val="00ED50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  <w:jc w:val="left"/>
      </w:pPr>
      <w:rPr>
        <w:b/>
        <w:bCs/>
        <w:color w:val="000000" w:themeColor="text1"/>
      </w:rPr>
      <w:tblPr/>
      <w:tcPr>
        <w:shd w:val="clear" w:color="auto" w:fill="A6A6A6" w:themeFill="background1" w:themeFillShade="A6"/>
        <w:vAlign w:val="center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Grid1-Accent1">
    <w:name w:val="Medium Grid 1 Accent 1"/>
    <w:basedOn w:val="TableNormal"/>
    <w:uiPriority w:val="67"/>
    <w:rsid w:val="00ED5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">
    <w:name w:val="Medium Grid 1"/>
    <w:basedOn w:val="TableNormal"/>
    <w:uiPriority w:val="67"/>
    <w:rsid w:val="00ED50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Grid">
    <w:name w:val="Light Grid"/>
    <w:basedOn w:val="TableNormal"/>
    <w:uiPriority w:val="62"/>
    <w:rsid w:val="00331D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4D25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09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81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183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6733">
                      <w:marLeft w:val="675"/>
                      <w:marRight w:val="825"/>
                      <w:marTop w:val="25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mcm1961\AppData\Local\Microsoft\Windows\Temporary%20Internet%20Files\Content.Outlook\NDLFHGH4\GASB%2051%20-%20Intangible%20Assets%20Policy%20-%20Final%202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54972-71FB-4797-B00A-A11916B7F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State University</Company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Campus Computer User</dc:creator>
  <cp:lastModifiedBy>McManus, Tina</cp:lastModifiedBy>
  <cp:revision>4</cp:revision>
  <cp:lastPrinted>2011-05-20T21:30:00Z</cp:lastPrinted>
  <dcterms:created xsi:type="dcterms:W3CDTF">2011-07-22T14:27:00Z</dcterms:created>
  <dcterms:modified xsi:type="dcterms:W3CDTF">2011-07-22T14:34:00Z</dcterms:modified>
</cp:coreProperties>
</file>